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004b88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8"/>
          <w:szCs w:val="28"/>
          <w:rtl w:val="0"/>
        </w:rPr>
        <w:t xml:space="preserve">Generalist</w:t>
      </w: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8"/>
          <w:szCs w:val="28"/>
          <w:rtl w:val="0"/>
        </w:rPr>
        <w:t xml:space="preserve"> Adviser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4b88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8"/>
          <w:szCs w:val="28"/>
          <w:rtl w:val="0"/>
        </w:rPr>
        <w:t xml:space="preserve">Job Description and Person Specification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4"/>
          <w:szCs w:val="24"/>
          <w:rtl w:val="0"/>
        </w:rPr>
        <w:t xml:space="preserve">Advice giving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Interview clients using sensitive listening and questioning skills in order to allow clients to explain their problem(s) and empower them to set their own priorities.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Use the Citizens Advice AdviserNet website to find, interpret and communicate the relevant information.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To provide advice on the main enquiry areas, particularly welfare benefits, debt and income maximisation through a range of channels including phone, email and face to face.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Research and explore options and implications so that clients can make informed decisions.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Ensure that all work conforms to the organisation’s office manual and the Advice Quality standard / Legal Aid Agency’s Quality Mark / other funding requirements, as appropriate.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Ensure that work reflects and supports the Citizens Advice service’s equality and diversity strategy.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Maintain detailed case records for the purpose of continuity of advice, information retrieval, statistical monitoring and report preparation.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4"/>
          <w:szCs w:val="24"/>
          <w:rtl w:val="0"/>
        </w:rPr>
        <w:t xml:space="preserve">Research and Campaigns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Assist with research and campaigns work by providing information as appropriate.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Alert clients to research and campaign options.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Keep up to date with legislation, policies and procedures and undertake appropriate training.</w:t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4"/>
          <w:szCs w:val="24"/>
          <w:rtl w:val="0"/>
        </w:rPr>
        <w:t xml:space="preserve">Administration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Attend relevant internal and external meetings as agreed with line management.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Prepare for and attend supervisor sessions/team meetings/staff meetings as appropriate.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Use IT for statistical recording of information relating to research and campaigns and funding requirements, record keeping and document production.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Ensure all work conforms to the organisation’s systems and procedures.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Complete required training to comply with quality assurance processes.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Carry out any task that may be within the scope of the post to ensure the effective delivery and development of the service.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32"/>
          <w:szCs w:val="32"/>
          <w:rtl w:val="0"/>
        </w:rPr>
        <w:t xml:space="preserve">Person specification</w:t>
      </w: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b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4"/>
          <w:szCs w:val="24"/>
          <w:rtl w:val="0"/>
        </w:rPr>
        <w:t xml:space="preserve">Essential Criteria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Ability to commit and work within the aims, principles and policies of the Citizens Advice service.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Proven understanding of equality and diversity and its application to the provision of advice.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Proven ability to interview clients using sensitive listening and questioning skills to get to the root of issues and empower clients, whilst maintaining structure and control of meetings.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Understanding of the issues affecting society and their implications for the client and service provision.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Proven ability to research, analyse and interpret complex information, produce and present clear reports verbally and in writing.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Ability to understand statistics and check accuracy of calculations.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 proactive approach to prioritising own work, meeting deadlines and managing workload in a pressured environment, with conflicting priorities.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Ability to communicate effectively and sensitively both verbally and in writing with a range of different audiences.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Open Sans" w:cs="Open Sans" w:eastAsia="Open Sans" w:hAnsi="Open Sans"/>
          <w:i w:val="1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4b88"/>
          <w:sz w:val="24"/>
          <w:szCs w:val="24"/>
          <w:rtl w:val="0"/>
        </w:rPr>
        <w:t xml:space="preserve">In accordance with Citizens Advice national policy  the successful candidate may be screened by the DBS. However, a criminal record will not necessarily be a bar to your being able to take up the job.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color w:val="004b8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